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65F60" w:rsidRDefault="00EA52AF" w:rsidP="001E1438">
      <w:pPr>
        <w:pStyle w:val="a3"/>
        <w:spacing w:after="120"/>
        <w:ind w:left="142"/>
        <w:jc w:val="right"/>
        <w:rPr>
          <w:noProof/>
        </w:rPr>
      </w:pPr>
      <w:r>
        <w:t>Приложение №1 «</w:t>
      </w:r>
      <w:r w:rsidR="00E54AEB">
        <w:t>Техническое задание</w:t>
      </w:r>
      <w:r>
        <w:t>»</w:t>
      </w:r>
      <w:r w:rsidRPr="00A30BEF">
        <w:t xml:space="preserve"> к Форме 2</w:t>
      </w:r>
      <w:r w:rsidRPr="00650274">
        <w:rPr>
          <w:noProof/>
        </w:rPr>
        <w:t xml:space="preserve"> </w:t>
      </w:r>
    </w:p>
    <w:p w:rsidR="00A83D0C" w:rsidRDefault="00DC59FF" w:rsidP="00DC59FF">
      <w:pPr>
        <w:pStyle w:val="a3"/>
        <w:spacing w:after="120"/>
        <w:ind w:left="142"/>
        <w:rPr>
          <w:noProof/>
        </w:rPr>
      </w:pPr>
      <w:r>
        <w:rPr>
          <w:noProof/>
        </w:rPr>
        <w:drawing>
          <wp:inline distT="0" distB="0" distL="0" distR="0" wp14:anchorId="04C2965D" wp14:editId="378198C1">
            <wp:extent cx="6442531" cy="912809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42443" cy="9127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59FF" w:rsidRDefault="00DC59FF" w:rsidP="00DC59FF">
      <w:pPr>
        <w:pStyle w:val="a3"/>
        <w:spacing w:after="120"/>
        <w:ind w:left="142"/>
        <w:rPr>
          <w:noProof/>
        </w:rPr>
      </w:pPr>
    </w:p>
    <w:p w:rsidR="00DC59FF" w:rsidRDefault="00DC59FF" w:rsidP="00DC59FF">
      <w:pPr>
        <w:pStyle w:val="a3"/>
        <w:spacing w:after="120"/>
        <w:ind w:left="142"/>
        <w:rPr>
          <w:noProof/>
        </w:rPr>
      </w:pPr>
    </w:p>
    <w:p w:rsidR="00DC59FF" w:rsidRDefault="00961AE6" w:rsidP="00DC59FF">
      <w:pPr>
        <w:pStyle w:val="a3"/>
        <w:spacing w:after="120"/>
        <w:ind w:left="142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480175" cy="179366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79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AE6" w:rsidRPr="00961AE6" w:rsidRDefault="00961AE6" w:rsidP="00961AE6">
      <w:pPr>
        <w:suppressAutoHyphens w:val="0"/>
        <w:ind w:left="360"/>
        <w:jc w:val="center"/>
        <w:rPr>
          <w:rFonts w:eastAsia="Times New Roman"/>
          <w:b/>
          <w:sz w:val="22"/>
          <w:szCs w:val="24"/>
          <w:lang w:eastAsia="x-none"/>
        </w:rPr>
      </w:pPr>
      <w:r w:rsidRPr="00961AE6">
        <w:rPr>
          <w:rFonts w:eastAsia="Times New Roman"/>
          <w:b/>
          <w:sz w:val="22"/>
          <w:szCs w:val="24"/>
          <w:lang w:val="x-none" w:eastAsia="x-none"/>
        </w:rPr>
        <w:t>6. Форма предоставления результатов</w:t>
      </w:r>
      <w:r w:rsidRPr="00961AE6">
        <w:rPr>
          <w:rFonts w:eastAsia="Times New Roman"/>
          <w:b/>
          <w:sz w:val="22"/>
          <w:szCs w:val="24"/>
          <w:lang w:eastAsia="x-none"/>
        </w:rPr>
        <w:t xml:space="preserve"> на русском языке</w:t>
      </w:r>
    </w:p>
    <w:p w:rsidR="00961AE6" w:rsidRPr="00961AE6" w:rsidRDefault="00961AE6" w:rsidP="00961AE6">
      <w:pPr>
        <w:suppressAutoHyphens w:val="0"/>
        <w:jc w:val="center"/>
        <w:rPr>
          <w:rFonts w:eastAsia="Times New Roman"/>
          <w:sz w:val="22"/>
          <w:szCs w:val="24"/>
          <w:lang w:eastAsia="ru-RU"/>
        </w:rPr>
      </w:pPr>
      <w:r w:rsidRPr="00961AE6">
        <w:rPr>
          <w:rFonts w:eastAsia="Times New Roman"/>
          <w:sz w:val="22"/>
          <w:szCs w:val="24"/>
          <w:lang w:eastAsia="ru-RU"/>
        </w:rPr>
        <w:t xml:space="preserve">Технико-коммерческое предложение на поставку катализатора в реактор </w:t>
      </w:r>
      <w:proofErr w:type="spellStart"/>
      <w:r w:rsidRPr="00961AE6">
        <w:rPr>
          <w:rFonts w:eastAsia="Times New Roman"/>
          <w:sz w:val="22"/>
          <w:szCs w:val="24"/>
          <w:lang w:eastAsia="ru-RU"/>
        </w:rPr>
        <w:t>гидрообессеривания</w:t>
      </w:r>
      <w:proofErr w:type="spellEnd"/>
    </w:p>
    <w:p w:rsidR="00961AE6" w:rsidRDefault="00961AE6" w:rsidP="00961AE6">
      <w:pPr>
        <w:pStyle w:val="a3"/>
        <w:spacing w:after="120"/>
        <w:ind w:left="142"/>
        <w:rPr>
          <w:b w:val="0"/>
          <w:bCs w:val="0"/>
          <w:sz w:val="22"/>
        </w:rPr>
      </w:pPr>
      <w:r w:rsidRPr="00961AE6">
        <w:rPr>
          <w:b w:val="0"/>
          <w:bCs w:val="0"/>
          <w:sz w:val="22"/>
        </w:rPr>
        <w:t>установки гидроочистки масел и парафинов С-500 производства КМ-2</w:t>
      </w:r>
    </w:p>
    <w:tbl>
      <w:tblPr>
        <w:tblW w:w="10262" w:type="dxa"/>
        <w:tblInd w:w="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19"/>
        <w:gridCol w:w="3543"/>
      </w:tblGrid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keepNext/>
              <w:tabs>
                <w:tab w:val="left" w:pos="851"/>
              </w:tabs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outlineLvl w:val="2"/>
              <w:rPr>
                <w:rFonts w:eastAsia="Times New Roman"/>
                <w:bCs/>
                <w:snapToGrid w:val="0"/>
                <w:sz w:val="22"/>
                <w:szCs w:val="20"/>
                <w:lang w:eastAsia="ru-RU"/>
              </w:rPr>
            </w:pPr>
            <w:r w:rsidRPr="00961AE6">
              <w:rPr>
                <w:rFonts w:eastAsia="Times New Roman"/>
                <w:bCs/>
                <w:snapToGrid w:val="0"/>
                <w:sz w:val="22"/>
                <w:szCs w:val="20"/>
                <w:lang w:eastAsia="ru-RU"/>
              </w:rPr>
              <w:t>Показатели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keepNext/>
              <w:tabs>
                <w:tab w:val="left" w:pos="851"/>
              </w:tabs>
              <w:suppressAutoHyphens w:val="0"/>
              <w:overflowPunct w:val="0"/>
              <w:autoSpaceDE w:val="0"/>
              <w:autoSpaceDN w:val="0"/>
              <w:adjustRightInd w:val="0"/>
              <w:jc w:val="center"/>
              <w:textAlignment w:val="baseline"/>
              <w:outlineLvl w:val="2"/>
              <w:rPr>
                <w:rFonts w:eastAsia="Times New Roman"/>
                <w:bCs/>
                <w:snapToGrid w:val="0"/>
                <w:sz w:val="22"/>
                <w:szCs w:val="20"/>
                <w:lang w:eastAsia="ru-RU"/>
              </w:rPr>
            </w:pPr>
            <w:r w:rsidRPr="00961AE6">
              <w:rPr>
                <w:rFonts w:eastAsia="Times New Roman"/>
                <w:bCs/>
                <w:snapToGrid w:val="0"/>
                <w:sz w:val="22"/>
                <w:szCs w:val="20"/>
                <w:lang w:eastAsia="ru-RU"/>
              </w:rPr>
              <w:t>1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jc w:val="center"/>
              <w:rPr>
                <w:rFonts w:eastAsia="Times New Roman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z w:val="22"/>
                <w:szCs w:val="24"/>
                <w:lang w:eastAsia="ru-RU"/>
              </w:rPr>
              <w:t>2</w:t>
            </w: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Марка катализатора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Гигиенический сертификат, паспорт безопасности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ТУ, СТП и т.п.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Где выпускается и предполагается выпускать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Наличие положительного опыта эксплуатации каталитической системы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b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b/>
                <w:snapToGrid w:val="0"/>
                <w:sz w:val="22"/>
                <w:szCs w:val="24"/>
                <w:lang w:eastAsia="ru-RU"/>
              </w:rPr>
              <w:t>Характеристика катализатора: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Тип катализатора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Условия перевода в активную форму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Массовая доля активных компонентов, % масс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- кобальта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- молибдена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- никеля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Другие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 xml:space="preserve">Размер </w:t>
            </w:r>
            <w:proofErr w:type="spellStart"/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экструдатов</w:t>
            </w:r>
            <w:proofErr w:type="spellEnd"/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: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-</w:t>
            </w: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 xml:space="preserve"> форма 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-</w:t>
            </w: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 xml:space="preserve"> диаметр, мм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- длина, мм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Насыпная плотность, кг/м</w:t>
            </w:r>
            <w:r w:rsidRPr="00961AE6">
              <w:rPr>
                <w:rFonts w:eastAsia="Times New Roman"/>
                <w:snapToGrid w:val="0"/>
                <w:sz w:val="22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jc w:val="center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napToGrid w:val="0"/>
                <w:sz w:val="22"/>
                <w:szCs w:val="24"/>
                <w:lang w:eastAsia="ru-RU"/>
              </w:rPr>
              <w:t>Коэффициент прочности, кг/мм, средний/не менее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Удельная поверхность, м</w:t>
            </w: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vertAlign w:val="superscript"/>
                <w:lang w:eastAsia="ru-RU"/>
              </w:rPr>
              <w:t>2</w:t>
            </w: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/г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Общий объем пор, см</w:t>
            </w: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vertAlign w:val="superscript"/>
                <w:lang w:eastAsia="ru-RU"/>
              </w:rPr>
              <w:t>3</w:t>
            </w: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/г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 xml:space="preserve">Массовая доля влаги, % 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 xml:space="preserve">Массовая доля частиц менее </w:t>
            </w:r>
            <w:smartTag w:uri="urn:schemas-microsoft-com:office:smarttags" w:element="metricconverter">
              <w:smartTagPr>
                <w:attr w:name="ProductID" w:val="1 мм"/>
              </w:smartTagPr>
              <w:r w:rsidRPr="00961AE6">
                <w:rPr>
                  <w:rFonts w:eastAsia="Times New Roman"/>
                  <w:noProof/>
                  <w:snapToGrid w:val="0"/>
                  <w:sz w:val="22"/>
                  <w:szCs w:val="24"/>
                  <w:lang w:eastAsia="ru-RU"/>
                </w:rPr>
                <w:t>1 мм</w:t>
              </w:r>
            </w:smartTag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 xml:space="preserve">, % не более 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Количество катализатора, т (м</w:t>
            </w: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vertAlign w:val="superscript"/>
                <w:lang w:eastAsia="ru-RU"/>
              </w:rPr>
              <w:t>3</w:t>
            </w: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)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Загрузка катализатора (диаграмма загрузки)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Тип загрузки (плотная, рукавная)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Сульфидирующий агент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  <w:tcBorders>
              <w:bottom w:val="single" w:sz="4" w:space="0" w:color="auto"/>
            </w:tcBorders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Условия регенерации</w:t>
            </w:r>
          </w:p>
        </w:tc>
        <w:tc>
          <w:tcPr>
            <w:tcW w:w="3543" w:type="dxa"/>
            <w:tcBorders>
              <w:bottom w:val="single" w:sz="4" w:space="0" w:color="auto"/>
            </w:tcBorders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b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b/>
                <w:noProof/>
                <w:snapToGrid w:val="0"/>
                <w:sz w:val="22"/>
                <w:szCs w:val="24"/>
                <w:lang w:eastAsia="ru-RU"/>
              </w:rPr>
              <w:t>Технологические параметры: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Температура начала цикла, на входе в реактор / на выходе из реактора, °С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Температура конца цикла, на входе в реактор / на выходе из реактора, °С, не выше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Межрегенерационный пробег, мес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Ожидаемый срок службы катализатора, лет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szCs w:val="24"/>
                <w:lang w:eastAsia="ru-RU"/>
              </w:rPr>
            </w:pP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b/>
                <w:noProof/>
                <w:snapToGrid w:val="0"/>
                <w:sz w:val="22"/>
                <w:szCs w:val="24"/>
                <w:lang w:eastAsia="ru-RU"/>
              </w:rPr>
              <w:t>Подтверждение выполнения гарантийных показателей, при условии выполнения п. 4.1, 4.2, 4.3: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jc w:val="center"/>
              <w:rPr>
                <w:rFonts w:eastAsia="Times New Roman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z w:val="22"/>
                <w:szCs w:val="24"/>
                <w:lang w:eastAsia="ru-RU"/>
              </w:rPr>
              <w:t>ДА/НЕТ</w:t>
            </w: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widowControl w:val="0"/>
              <w:suppressAutoHyphens w:val="0"/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noProof/>
                <w:snapToGrid w:val="0"/>
                <w:sz w:val="22"/>
                <w:szCs w:val="24"/>
                <w:lang w:eastAsia="ru-RU"/>
              </w:rPr>
              <w:t>Гарантированный срок службы катализатора, лет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jc w:val="center"/>
              <w:rPr>
                <w:rFonts w:eastAsia="Times New Roman"/>
                <w:sz w:val="22"/>
                <w:szCs w:val="24"/>
                <w:lang w:eastAsia="ru-RU"/>
              </w:rPr>
            </w:pPr>
            <w:r w:rsidRPr="00961AE6">
              <w:rPr>
                <w:rFonts w:eastAsia="Times New Roman"/>
                <w:sz w:val="22"/>
                <w:szCs w:val="24"/>
                <w:lang w:eastAsia="ru-RU"/>
              </w:rPr>
              <w:t>не менее 6</w:t>
            </w: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961AE6">
              <w:rPr>
                <w:rFonts w:eastAsia="Times New Roman"/>
                <w:sz w:val="22"/>
                <w:lang w:eastAsia="ru-RU"/>
              </w:rPr>
              <w:t xml:space="preserve">Обеспечение показателей качества </w:t>
            </w:r>
            <w:proofErr w:type="spellStart"/>
            <w:r w:rsidRPr="00961AE6">
              <w:rPr>
                <w:rFonts w:eastAsia="Times New Roman"/>
                <w:sz w:val="22"/>
                <w:lang w:eastAsia="ru-RU"/>
              </w:rPr>
              <w:t>гидроочищенного</w:t>
            </w:r>
            <w:proofErr w:type="spellEnd"/>
            <w:r w:rsidRPr="00961AE6">
              <w:rPr>
                <w:rFonts w:eastAsia="Times New Roman"/>
                <w:sz w:val="22"/>
                <w:lang w:eastAsia="ru-RU"/>
              </w:rPr>
              <w:t xml:space="preserve"> </w:t>
            </w:r>
            <w:proofErr w:type="spellStart"/>
            <w:r w:rsidRPr="00961AE6">
              <w:rPr>
                <w:rFonts w:eastAsia="Times New Roman"/>
                <w:sz w:val="22"/>
                <w:lang w:eastAsia="ru-RU"/>
              </w:rPr>
              <w:t>рафината</w:t>
            </w:r>
            <w:proofErr w:type="spellEnd"/>
            <w:r w:rsidRPr="00961AE6">
              <w:rPr>
                <w:rFonts w:eastAsia="Times New Roman"/>
                <w:sz w:val="22"/>
                <w:lang w:eastAsia="ru-RU"/>
              </w:rPr>
              <w:t xml:space="preserve"> фр. 420-490°С:</w:t>
            </w:r>
          </w:p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961AE6">
              <w:rPr>
                <w:rFonts w:eastAsia="Times New Roman"/>
                <w:sz w:val="22"/>
                <w:lang w:eastAsia="ru-RU"/>
              </w:rPr>
              <w:t xml:space="preserve">- массовая доля серы в масле, получаемого на стадии </w:t>
            </w:r>
            <w:proofErr w:type="spellStart"/>
            <w:r w:rsidRPr="00961AE6">
              <w:rPr>
                <w:rFonts w:eastAsia="Times New Roman"/>
                <w:sz w:val="22"/>
                <w:lang w:eastAsia="ru-RU"/>
              </w:rPr>
              <w:t>депарафинизации</w:t>
            </w:r>
            <w:proofErr w:type="spellEnd"/>
            <w:r w:rsidRPr="00961AE6">
              <w:rPr>
                <w:rFonts w:eastAsia="Times New Roman"/>
                <w:sz w:val="22"/>
                <w:lang w:eastAsia="ru-RU"/>
              </w:rPr>
              <w:t>, % масс, не более (ГОСТ Р 51947)</w:t>
            </w:r>
          </w:p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961AE6">
              <w:rPr>
                <w:rFonts w:eastAsia="Times New Roman"/>
                <w:sz w:val="22"/>
                <w:lang w:eastAsia="ru-RU"/>
              </w:rPr>
              <w:lastRenderedPageBreak/>
              <w:t xml:space="preserve">- индекс вязкости масла, получаемого на стадии </w:t>
            </w:r>
            <w:proofErr w:type="spellStart"/>
            <w:r w:rsidRPr="00961AE6">
              <w:rPr>
                <w:rFonts w:eastAsia="Times New Roman"/>
                <w:sz w:val="22"/>
                <w:lang w:eastAsia="ru-RU"/>
              </w:rPr>
              <w:t>депарафинизации</w:t>
            </w:r>
            <w:proofErr w:type="spellEnd"/>
            <w:r w:rsidRPr="00961AE6">
              <w:rPr>
                <w:rFonts w:eastAsia="Times New Roman"/>
                <w:sz w:val="22"/>
                <w:lang w:eastAsia="ru-RU"/>
              </w:rPr>
              <w:t>, не менее (ГОСТ 25371)</w:t>
            </w:r>
          </w:p>
        </w:tc>
        <w:tc>
          <w:tcPr>
            <w:tcW w:w="3543" w:type="dxa"/>
          </w:tcPr>
          <w:p w:rsidR="00961AE6" w:rsidRPr="00961AE6" w:rsidRDefault="00961AE6" w:rsidP="00961AE6">
            <w:pPr>
              <w:suppressAutoHyphens w:val="0"/>
              <w:jc w:val="center"/>
              <w:rPr>
                <w:rFonts w:eastAsia="Times New Roman"/>
                <w:sz w:val="22"/>
                <w:lang w:eastAsia="ru-RU"/>
              </w:rPr>
            </w:pPr>
          </w:p>
          <w:p w:rsidR="00961AE6" w:rsidRPr="00961AE6" w:rsidRDefault="00961AE6" w:rsidP="00961AE6">
            <w:pPr>
              <w:suppressAutoHyphens w:val="0"/>
              <w:jc w:val="center"/>
              <w:rPr>
                <w:rFonts w:eastAsia="Times New Roman"/>
                <w:sz w:val="22"/>
                <w:lang w:eastAsia="ru-RU"/>
              </w:rPr>
            </w:pPr>
          </w:p>
          <w:p w:rsidR="00961AE6" w:rsidRPr="00961AE6" w:rsidRDefault="00961AE6" w:rsidP="00961AE6">
            <w:pPr>
              <w:suppressAutoHyphens w:val="0"/>
              <w:jc w:val="center"/>
              <w:rPr>
                <w:rFonts w:eastAsia="Arial Unicode MS"/>
                <w:sz w:val="22"/>
                <w:lang w:eastAsia="ru-RU"/>
              </w:rPr>
            </w:pPr>
            <w:r w:rsidRPr="00961AE6">
              <w:rPr>
                <w:rFonts w:eastAsia="Arial Unicode MS"/>
                <w:sz w:val="22"/>
                <w:lang w:eastAsia="ru-RU"/>
              </w:rPr>
              <w:t>0,3</w:t>
            </w:r>
          </w:p>
          <w:p w:rsidR="00961AE6" w:rsidRPr="00961AE6" w:rsidRDefault="00961AE6" w:rsidP="00961AE6">
            <w:pPr>
              <w:suppressAutoHyphens w:val="0"/>
              <w:jc w:val="center"/>
              <w:rPr>
                <w:rFonts w:eastAsia="Arial Unicode MS"/>
                <w:sz w:val="22"/>
                <w:lang w:eastAsia="ru-RU"/>
              </w:rPr>
            </w:pPr>
          </w:p>
          <w:p w:rsidR="00961AE6" w:rsidRPr="00961AE6" w:rsidRDefault="00961AE6" w:rsidP="00961AE6">
            <w:pPr>
              <w:suppressAutoHyphens w:val="0"/>
              <w:jc w:val="center"/>
              <w:rPr>
                <w:rFonts w:eastAsia="Times New Roman"/>
                <w:sz w:val="22"/>
                <w:lang w:eastAsia="ru-RU"/>
              </w:rPr>
            </w:pPr>
            <w:r w:rsidRPr="00961AE6">
              <w:rPr>
                <w:rFonts w:eastAsia="Arial Unicode MS"/>
                <w:sz w:val="22"/>
                <w:lang w:eastAsia="ru-RU"/>
              </w:rPr>
              <w:lastRenderedPageBreak/>
              <w:t>90</w:t>
            </w:r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961AE6">
              <w:rPr>
                <w:rFonts w:eastAsia="Times New Roman"/>
                <w:sz w:val="22"/>
                <w:lang w:eastAsia="ru-RU"/>
              </w:rPr>
              <w:lastRenderedPageBreak/>
              <w:t xml:space="preserve">Длительность </w:t>
            </w:r>
            <w:proofErr w:type="spellStart"/>
            <w:r w:rsidRPr="00961AE6">
              <w:rPr>
                <w:rFonts w:eastAsia="Times New Roman"/>
                <w:sz w:val="22"/>
                <w:lang w:eastAsia="ru-RU"/>
              </w:rPr>
              <w:t>межрегенерационного</w:t>
            </w:r>
            <w:proofErr w:type="spellEnd"/>
            <w:r w:rsidRPr="00961AE6">
              <w:rPr>
                <w:rFonts w:eastAsia="Times New Roman"/>
                <w:sz w:val="22"/>
                <w:lang w:eastAsia="ru-RU"/>
              </w:rPr>
              <w:t xml:space="preserve"> пробега, не менее </w:t>
            </w:r>
          </w:p>
        </w:tc>
        <w:tc>
          <w:tcPr>
            <w:tcW w:w="3543" w:type="dxa"/>
            <w:vAlign w:val="center"/>
          </w:tcPr>
          <w:p w:rsidR="00961AE6" w:rsidRPr="00961AE6" w:rsidRDefault="00961AE6" w:rsidP="00961AE6">
            <w:pPr>
              <w:suppressAutoHyphens w:val="0"/>
              <w:jc w:val="center"/>
              <w:rPr>
                <w:rFonts w:eastAsia="Times New Roman"/>
                <w:sz w:val="22"/>
                <w:lang w:eastAsia="ru-RU"/>
              </w:rPr>
            </w:pPr>
            <w:r w:rsidRPr="00961AE6">
              <w:rPr>
                <w:rFonts w:eastAsia="Times New Roman"/>
                <w:sz w:val="22"/>
                <w:lang w:eastAsia="ru-RU"/>
              </w:rPr>
              <w:t xml:space="preserve">36 </w:t>
            </w:r>
            <w:proofErr w:type="spellStart"/>
            <w:r w:rsidRPr="00961AE6">
              <w:rPr>
                <w:rFonts w:eastAsia="Times New Roman"/>
                <w:sz w:val="22"/>
                <w:lang w:eastAsia="ru-RU"/>
              </w:rPr>
              <w:t>мес</w:t>
            </w:r>
            <w:proofErr w:type="spellEnd"/>
          </w:p>
        </w:tc>
      </w:tr>
      <w:tr w:rsidR="00961AE6" w:rsidRPr="00961AE6" w:rsidTr="00775991">
        <w:trPr>
          <w:trHeight w:val="20"/>
        </w:trPr>
        <w:tc>
          <w:tcPr>
            <w:tcW w:w="6719" w:type="dxa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961AE6">
              <w:rPr>
                <w:rFonts w:eastAsia="Times New Roman"/>
                <w:sz w:val="22"/>
                <w:lang w:eastAsia="ru-RU"/>
              </w:rPr>
              <w:t>Перепад давления по реактору, не более</w:t>
            </w:r>
          </w:p>
        </w:tc>
        <w:tc>
          <w:tcPr>
            <w:tcW w:w="3543" w:type="dxa"/>
            <w:vAlign w:val="center"/>
          </w:tcPr>
          <w:p w:rsidR="00961AE6" w:rsidRPr="00961AE6" w:rsidRDefault="00961AE6" w:rsidP="00961AE6">
            <w:pPr>
              <w:suppressAutoHyphens w:val="0"/>
              <w:jc w:val="center"/>
              <w:rPr>
                <w:rFonts w:eastAsia="Times New Roman"/>
                <w:sz w:val="22"/>
                <w:lang w:eastAsia="ru-RU"/>
              </w:rPr>
            </w:pPr>
            <w:r w:rsidRPr="00961AE6">
              <w:rPr>
                <w:rFonts w:eastAsia="Times New Roman"/>
                <w:sz w:val="22"/>
                <w:lang w:eastAsia="ru-RU"/>
              </w:rPr>
              <w:t>1 кг/см</w:t>
            </w:r>
            <w:r w:rsidRPr="00961AE6">
              <w:rPr>
                <w:rFonts w:eastAsia="Times New Roman"/>
                <w:sz w:val="22"/>
                <w:vertAlign w:val="superscript"/>
                <w:lang w:eastAsia="ru-RU"/>
              </w:rPr>
              <w:t>2</w:t>
            </w:r>
          </w:p>
        </w:tc>
      </w:tr>
      <w:tr w:rsidR="00961AE6" w:rsidRPr="00961AE6" w:rsidTr="00775991">
        <w:trPr>
          <w:trHeight w:val="20"/>
        </w:trPr>
        <w:tc>
          <w:tcPr>
            <w:tcW w:w="10262" w:type="dxa"/>
            <w:gridSpan w:val="2"/>
          </w:tcPr>
          <w:p w:rsidR="00961AE6" w:rsidRPr="00961AE6" w:rsidRDefault="00961AE6" w:rsidP="00961AE6">
            <w:pPr>
              <w:suppressAutoHyphens w:val="0"/>
              <w:rPr>
                <w:rFonts w:eastAsia="Times New Roman"/>
                <w:sz w:val="22"/>
                <w:lang w:eastAsia="ru-RU"/>
              </w:rPr>
            </w:pPr>
            <w:r w:rsidRPr="00961AE6">
              <w:rPr>
                <w:rFonts w:eastAsia="Times New Roman"/>
                <w:sz w:val="22"/>
                <w:lang w:eastAsia="ru-RU"/>
              </w:rPr>
              <w:t>Возможность проведения паро-воздушной регенерации.</w:t>
            </w:r>
          </w:p>
        </w:tc>
      </w:tr>
    </w:tbl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  <w:r>
        <w:rPr>
          <w:noProof/>
        </w:rPr>
        <w:drawing>
          <wp:inline distT="0" distB="0" distL="0" distR="0">
            <wp:extent cx="6480175" cy="4434249"/>
            <wp:effectExtent l="0" t="0" r="0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434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</w:p>
    <w:p w:rsidR="00961AE6" w:rsidRDefault="00961AE6" w:rsidP="00961AE6">
      <w:pPr>
        <w:pStyle w:val="a3"/>
        <w:spacing w:after="120"/>
        <w:ind w:left="142"/>
        <w:rPr>
          <w:noProof/>
        </w:rPr>
      </w:pPr>
      <w:r>
        <w:rPr>
          <w:noProof/>
        </w:rPr>
        <w:lastRenderedPageBreak/>
        <w:drawing>
          <wp:inline distT="0" distB="0" distL="0" distR="0" wp14:anchorId="5C3B8654" wp14:editId="4AC9CCAD">
            <wp:extent cx="6186104" cy="9061824"/>
            <wp:effectExtent l="0" t="0" r="571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5391" cy="906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6EF" w:rsidRDefault="00FA06EF" w:rsidP="00961AE6">
      <w:pPr>
        <w:pStyle w:val="a3"/>
        <w:spacing w:after="120"/>
        <w:ind w:left="142"/>
        <w:rPr>
          <w:noProof/>
        </w:rPr>
      </w:pPr>
    </w:p>
    <w:p w:rsidR="00FA06EF" w:rsidRDefault="00FA06EF" w:rsidP="00E30757">
      <w:pPr>
        <w:pStyle w:val="a3"/>
        <w:spacing w:after="120"/>
        <w:jc w:val="left"/>
        <w:rPr>
          <w:noProof/>
        </w:rPr>
      </w:pPr>
      <w:bookmarkStart w:id="0" w:name="_GoBack"/>
      <w:bookmarkEnd w:id="0"/>
    </w:p>
    <w:sectPr w:rsidR="00FA06EF" w:rsidSect="00FA06EF">
      <w:pgSz w:w="11906" w:h="16838" w:code="9"/>
      <w:pgMar w:top="567" w:right="567" w:bottom="426" w:left="1134" w:header="720" w:footer="2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36B4D" w:rsidRDefault="00736B4D" w:rsidP="00A63442">
      <w:r>
        <w:separator/>
      </w:r>
    </w:p>
  </w:endnote>
  <w:endnote w:type="continuationSeparator" w:id="0">
    <w:p w:rsidR="00736B4D" w:rsidRDefault="00736B4D" w:rsidP="00A634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36B4D" w:rsidRDefault="00736B4D" w:rsidP="00A63442">
      <w:r>
        <w:separator/>
      </w:r>
    </w:p>
  </w:footnote>
  <w:footnote w:type="continuationSeparator" w:id="0">
    <w:p w:rsidR="00736B4D" w:rsidRDefault="00736B4D" w:rsidP="00A6344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9B6BDA"/>
    <w:multiLevelType w:val="multilevel"/>
    <w:tmpl w:val="C70A494A"/>
    <w:lvl w:ilvl="0">
      <w:start w:val="2"/>
      <w:numFmt w:val="decimal"/>
      <w:lvlText w:val="%1."/>
      <w:lvlJc w:val="left"/>
      <w:pPr>
        <w:ind w:left="5180" w:hanging="360"/>
      </w:pPr>
      <w:rPr>
        <w:rFonts w:ascii="Times New Roman" w:hAnsi="Times New Roman" w:cs="Times New Roman" w:hint="default"/>
      </w:rPr>
    </w:lvl>
    <w:lvl w:ilvl="1">
      <w:start w:val="2"/>
      <w:numFmt w:val="decimal"/>
      <w:lvlText w:val="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" w15:restartNumberingAfterBreak="0">
    <w:nsid w:val="2BB03DAF"/>
    <w:multiLevelType w:val="multilevel"/>
    <w:tmpl w:val="06A8B80E"/>
    <w:lvl w:ilvl="0">
      <w:start w:val="1"/>
      <w:numFmt w:val="decimal"/>
      <w:lvlText w:val="%1."/>
      <w:lvlJc w:val="left"/>
      <w:pPr>
        <w:ind w:left="1170" w:hanging="360"/>
      </w:pPr>
    </w:lvl>
    <w:lvl w:ilvl="1">
      <w:start w:val="2"/>
      <w:numFmt w:val="decimal"/>
      <w:isLgl/>
      <w:lvlText w:val="%1.%2."/>
      <w:lvlJc w:val="left"/>
      <w:pPr>
        <w:ind w:left="11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3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9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5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10" w:hanging="1800"/>
      </w:pPr>
      <w:rPr>
        <w:rFonts w:hint="default"/>
      </w:rPr>
    </w:lvl>
  </w:abstractNum>
  <w:abstractNum w:abstractNumId="2" w15:restartNumberingAfterBreak="0">
    <w:nsid w:val="32FF11EA"/>
    <w:multiLevelType w:val="multilevel"/>
    <w:tmpl w:val="88E8A34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456"/>
        </w:tabs>
        <w:ind w:left="456" w:hanging="456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" w15:restartNumberingAfterBreak="0">
    <w:nsid w:val="364D60B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3A8B36B3"/>
    <w:multiLevelType w:val="multilevel"/>
    <w:tmpl w:val="6172D7C0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4D945AD9"/>
    <w:multiLevelType w:val="hybridMultilevel"/>
    <w:tmpl w:val="FA808BA6"/>
    <w:lvl w:ilvl="0" w:tplc="26B8A7B0">
      <w:start w:val="4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  <w:b/>
        <w:i w:val="0"/>
      </w:rPr>
    </w:lvl>
    <w:lvl w:ilvl="1" w:tplc="F1DC17B0">
      <w:start w:val="4"/>
      <w:numFmt w:val="decimal"/>
      <w:lvlText w:val="%2."/>
      <w:lvlJc w:val="left"/>
      <w:pPr>
        <w:tabs>
          <w:tab w:val="num" w:pos="720"/>
        </w:tabs>
        <w:ind w:left="720" w:hanging="363"/>
      </w:pPr>
      <w:rPr>
        <w:rFonts w:hint="default"/>
        <w:b/>
        <w:i w:val="0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F581CFF"/>
    <w:multiLevelType w:val="hybridMultilevel"/>
    <w:tmpl w:val="B9A4546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5711F0"/>
    <w:multiLevelType w:val="multilevel"/>
    <w:tmpl w:val="18D03C8C"/>
    <w:lvl w:ilvl="0">
      <w:start w:val="2"/>
      <w:numFmt w:val="decimal"/>
      <w:lvlText w:val="%1."/>
      <w:lvlJc w:val="left"/>
      <w:pPr>
        <w:ind w:left="518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8" w15:restartNumberingAfterBreak="0">
    <w:nsid w:val="6B474194"/>
    <w:multiLevelType w:val="multilevel"/>
    <w:tmpl w:val="0616D33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sz w:val="24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sz w:val="24"/>
      </w:rPr>
    </w:lvl>
  </w:abstractNum>
  <w:abstractNum w:abstractNumId="9" w15:restartNumberingAfterBreak="0">
    <w:nsid w:val="72186100"/>
    <w:multiLevelType w:val="hybridMultilevel"/>
    <w:tmpl w:val="9B92E0F8"/>
    <w:lvl w:ilvl="0" w:tplc="1166BA8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6"/>
  </w:num>
  <w:num w:numId="5">
    <w:abstractNumId w:val="1"/>
  </w:num>
  <w:num w:numId="6">
    <w:abstractNumId w:val="3"/>
  </w:num>
  <w:num w:numId="7">
    <w:abstractNumId w:val="7"/>
  </w:num>
  <w:num w:numId="8">
    <w:abstractNumId w:val="0"/>
  </w:num>
  <w:num w:numId="9">
    <w:abstractNumId w:val="2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52AF"/>
    <w:rsid w:val="00165F60"/>
    <w:rsid w:val="001E1438"/>
    <w:rsid w:val="00384ABC"/>
    <w:rsid w:val="00443B7C"/>
    <w:rsid w:val="004B5D2D"/>
    <w:rsid w:val="00585C73"/>
    <w:rsid w:val="005D2E71"/>
    <w:rsid w:val="006500AD"/>
    <w:rsid w:val="00736B4D"/>
    <w:rsid w:val="0082300C"/>
    <w:rsid w:val="00961AE6"/>
    <w:rsid w:val="00A1250B"/>
    <w:rsid w:val="00A63442"/>
    <w:rsid w:val="00A83D0C"/>
    <w:rsid w:val="00C7106F"/>
    <w:rsid w:val="00DC59FF"/>
    <w:rsid w:val="00E30757"/>
    <w:rsid w:val="00E54AEB"/>
    <w:rsid w:val="00EA52AF"/>
    <w:rsid w:val="00FA06EF"/>
    <w:rsid w:val="00FA5C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6F85C54"/>
  <w15:docId w15:val="{6A72D04E-1AC4-49BB-B5E9-D09D7762AB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52AF"/>
    <w:pPr>
      <w:suppressAutoHyphens/>
      <w:spacing w:after="0" w:line="240" w:lineRule="auto"/>
    </w:pPr>
    <w:rPr>
      <w:rFonts w:ascii="Times New Roman" w:hAnsi="Times New Roman" w:cs="Times New Roman"/>
      <w:sz w:val="24"/>
    </w:rPr>
  </w:style>
  <w:style w:type="paragraph" w:styleId="2">
    <w:name w:val="heading 2"/>
    <w:basedOn w:val="a"/>
    <w:next w:val="a"/>
    <w:link w:val="20"/>
    <w:qFormat/>
    <w:rsid w:val="00165F60"/>
    <w:pPr>
      <w:keepNext/>
      <w:suppressAutoHyphens w:val="0"/>
      <w:outlineLvl w:val="1"/>
    </w:pPr>
    <w:rPr>
      <w:rFonts w:eastAsia="Times New Roman"/>
      <w:b/>
      <w:bCs/>
      <w:szCs w:val="24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61AE6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EA52AF"/>
    <w:pPr>
      <w:suppressAutoHyphens w:val="0"/>
      <w:jc w:val="center"/>
    </w:pPr>
    <w:rPr>
      <w:rFonts w:eastAsia="Times New Roman"/>
      <w:b/>
      <w:bCs/>
      <w:szCs w:val="24"/>
      <w:lang w:eastAsia="ru-RU"/>
    </w:rPr>
  </w:style>
  <w:style w:type="character" w:customStyle="1" w:styleId="a4">
    <w:name w:val="Заголовок Знак"/>
    <w:basedOn w:val="a0"/>
    <w:link w:val="a3"/>
    <w:rsid w:val="00EA52A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5">
    <w:basedOn w:val="a"/>
    <w:next w:val="a3"/>
    <w:qFormat/>
    <w:rsid w:val="00EA52AF"/>
    <w:pPr>
      <w:suppressAutoHyphens w:val="0"/>
      <w:ind w:firstLine="709"/>
      <w:jc w:val="center"/>
    </w:pPr>
    <w:rPr>
      <w:rFonts w:eastAsia="Times New Roman"/>
      <w:b/>
      <w:sz w:val="28"/>
      <w:szCs w:val="24"/>
      <w:lang w:eastAsia="ru-RU"/>
    </w:rPr>
  </w:style>
  <w:style w:type="paragraph" w:styleId="a6">
    <w:name w:val="Body Text"/>
    <w:basedOn w:val="a"/>
    <w:link w:val="a7"/>
    <w:rsid w:val="00A83D0C"/>
    <w:pPr>
      <w:suppressAutoHyphens w:val="0"/>
      <w:spacing w:after="120"/>
    </w:pPr>
    <w:rPr>
      <w:rFonts w:eastAsia="Times New Roman"/>
      <w:szCs w:val="24"/>
      <w:lang w:eastAsia="ru-RU"/>
    </w:rPr>
  </w:style>
  <w:style w:type="character" w:customStyle="1" w:styleId="a7">
    <w:name w:val="Основной текст Знак"/>
    <w:basedOn w:val="a0"/>
    <w:link w:val="a6"/>
    <w:rsid w:val="00A83D0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8">
    <w:basedOn w:val="a"/>
    <w:next w:val="a3"/>
    <w:link w:val="a9"/>
    <w:qFormat/>
    <w:rsid w:val="00A83D0C"/>
    <w:pPr>
      <w:suppressAutoHyphens w:val="0"/>
      <w:ind w:firstLine="709"/>
      <w:jc w:val="center"/>
    </w:pPr>
    <w:rPr>
      <w:rFonts w:asciiTheme="minorHAnsi" w:hAnsiTheme="minorHAnsi" w:cstheme="minorBidi"/>
      <w:b/>
      <w:sz w:val="28"/>
      <w:szCs w:val="24"/>
    </w:rPr>
  </w:style>
  <w:style w:type="character" w:customStyle="1" w:styleId="a9">
    <w:name w:val="Название Знак"/>
    <w:link w:val="a8"/>
    <w:locked/>
    <w:rsid w:val="00A83D0C"/>
    <w:rPr>
      <w:b/>
      <w:sz w:val="28"/>
      <w:szCs w:val="24"/>
    </w:rPr>
  </w:style>
  <w:style w:type="character" w:customStyle="1" w:styleId="20">
    <w:name w:val="Заголовок 2 Знак"/>
    <w:basedOn w:val="a0"/>
    <w:link w:val="2"/>
    <w:rsid w:val="00165F6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a">
    <w:basedOn w:val="a"/>
    <w:next w:val="a3"/>
    <w:qFormat/>
    <w:rsid w:val="00165F60"/>
    <w:pPr>
      <w:suppressAutoHyphens w:val="0"/>
      <w:jc w:val="center"/>
    </w:pPr>
    <w:rPr>
      <w:rFonts w:eastAsia="Times New Roman"/>
      <w:b/>
      <w:bCs/>
      <w:szCs w:val="24"/>
      <w:lang w:val="x-none" w:eastAsia="x-none"/>
    </w:rPr>
  </w:style>
  <w:style w:type="paragraph" w:styleId="ab">
    <w:name w:val="Balloon Text"/>
    <w:basedOn w:val="a"/>
    <w:link w:val="ac"/>
    <w:uiPriority w:val="99"/>
    <w:semiHidden/>
    <w:unhideWhenUsed/>
    <w:rsid w:val="00DC59FF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C59FF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961AE6"/>
    <w:rPr>
      <w:rFonts w:asciiTheme="majorHAnsi" w:eastAsiaTheme="majorEastAsia" w:hAnsiTheme="majorHAnsi" w:cstheme="majorBidi"/>
      <w:b/>
      <w:bCs/>
      <w:color w:val="5B9BD5" w:themeColor="accent1"/>
      <w:sz w:val="24"/>
    </w:rPr>
  </w:style>
  <w:style w:type="paragraph" w:styleId="ad">
    <w:name w:val="List Paragraph"/>
    <w:basedOn w:val="a"/>
    <w:uiPriority w:val="34"/>
    <w:qFormat/>
    <w:rsid w:val="00FA06EF"/>
    <w:pPr>
      <w:ind w:left="720"/>
      <w:contextualSpacing/>
    </w:pPr>
  </w:style>
  <w:style w:type="table" w:styleId="ae">
    <w:name w:val="Table Grid"/>
    <w:basedOn w:val="a1"/>
    <w:uiPriority w:val="59"/>
    <w:rsid w:val="00FA06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header"/>
    <w:basedOn w:val="a"/>
    <w:link w:val="af0"/>
    <w:uiPriority w:val="99"/>
    <w:unhideWhenUsed/>
    <w:rsid w:val="00A63442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A63442"/>
    <w:rPr>
      <w:rFonts w:ascii="Times New Roman" w:hAnsi="Times New Roman" w:cs="Times New Roman"/>
      <w:sz w:val="24"/>
    </w:rPr>
  </w:style>
  <w:style w:type="paragraph" w:styleId="af1">
    <w:name w:val="footer"/>
    <w:basedOn w:val="a"/>
    <w:link w:val="af2"/>
    <w:uiPriority w:val="99"/>
    <w:unhideWhenUsed/>
    <w:rsid w:val="00A63442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A63442"/>
    <w:rPr>
      <w:rFonts w:ascii="Times New Roman" w:hAnsi="Times New Roman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2BAE13-970A-4F0D-AA94-4BFF6DE53A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291</Words>
  <Characters>1659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YANOS</Company>
  <LinksUpToDate>false</LinksUpToDate>
  <CharactersWithSpaces>1947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EfremenkoTV</dc:creator>
  <cp:lastModifiedBy>GarifullinaYV</cp:lastModifiedBy>
  <cp:revision>7</cp:revision>
  <dcterms:created xsi:type="dcterms:W3CDTF">2019-07-11T05:12:00Z</dcterms:created>
  <dcterms:modified xsi:type="dcterms:W3CDTF">2019-08-21T07:27:00Z</dcterms:modified>
</cp:coreProperties>
</file>